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bookmarkStart w:id="2" w:name="OLE_LINK6"/>
      <w:bookmarkStart w:id="3" w:name="OLE_LINK5"/>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5-e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R4-20060</w:t>
      </w:r>
      <w:r>
        <w:rPr>
          <w:rFonts w:hint="eastAsia" w:ascii="Arial" w:hAnsi="Arial" w:eastAsia="宋体" w:cs="Times New Roman"/>
          <w:b/>
          <w:bCs/>
          <w:sz w:val="24"/>
          <w:szCs w:val="24"/>
          <w:lang w:val="en-US" w:eastAsia="zh-CN"/>
        </w:rPr>
        <w:t>11</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25 May</w:t>
      </w:r>
      <w:r>
        <w:rPr>
          <w:rFonts w:hint="eastAsia" w:ascii="Arial" w:hAnsi="Arial" w:eastAsia="宋体"/>
          <w:b/>
          <w:sz w:val="24"/>
          <w:szCs w:val="24"/>
          <w:lang w:eastAsia="zh-CN"/>
        </w:rPr>
        <w:t xml:space="preserve">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ascii="Arial" w:hAnsi="Arial" w:eastAsia="宋体"/>
          <w:b/>
          <w:sz w:val="24"/>
          <w:szCs w:val="24"/>
          <w:lang w:eastAsia="zh-CN"/>
        </w:rPr>
        <w:t>5 June, 2020</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bookmarkStart w:id="4" w:name="_Hlk7778829"/>
      <w:r>
        <w:rPr>
          <w:rFonts w:hint="eastAsia" w:ascii="Arial" w:hAnsi="Arial" w:eastAsia="Calibri" w:cs="Arial"/>
          <w:b/>
          <w:bCs/>
          <w:sz w:val="24"/>
          <w:lang w:val="en-GB"/>
        </w:rPr>
        <w:t>Discussion on approaches to address NR-U in 38.133</w:t>
      </w:r>
      <w:r>
        <w:rPr>
          <w:rFonts w:ascii="Arial" w:hAnsi="Arial" w:eastAsia="Calibri" w:cs="Arial"/>
          <w:b/>
          <w:bCs/>
          <w:sz w:val="24"/>
          <w:lang w:val="en-GB"/>
        </w:rPr>
        <w:t xml:space="preserve"> </w:t>
      </w:r>
      <w:bookmarkEnd w:id="4"/>
      <w:r>
        <w:rPr>
          <w:rFonts w:hint="eastAsia" w:ascii="Arial" w:hAnsi="Arial" w:eastAsia="宋体" w:cs="Arial"/>
          <w:b/>
          <w:bCs/>
          <w:sz w:val="24"/>
          <w:lang w:val="en-US" w:eastAsia="zh-CN"/>
        </w:rPr>
        <w:t>v3</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MS Mincho" w:cs="Arial"/>
          <w:b/>
          <w:bCs/>
          <w:sz w:val="24"/>
          <w:szCs w:val="20"/>
        </w:rPr>
        <w:t>NR_unlic-Core</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numPr>
          <w:ilvl w:val="0"/>
          <w:numId w:val="0"/>
        </w:numPr>
        <w:overflowPunct w:val="0"/>
        <w:autoSpaceDE w:val="0"/>
        <w:autoSpaceDN w:val="0"/>
        <w:adjustRightInd w:val="0"/>
        <w:spacing w:after="0" w:line="240" w:lineRule="auto"/>
        <w:jc w:val="both"/>
        <w:rPr>
          <w:rFonts w:hint="eastAsia" w:eastAsia="宋体" w:cs="Times New Roman"/>
          <w:sz w:val="22"/>
          <w:szCs w:val="22"/>
          <w:lang w:val="en-US" w:eastAsia="zh-CN"/>
        </w:rPr>
      </w:pPr>
      <w:r>
        <w:rPr>
          <w:rFonts w:hint="eastAsia" w:eastAsia="宋体" w:cs="Times New Roman"/>
          <w:sz w:val="22"/>
          <w:szCs w:val="22"/>
          <w:lang w:val="en-US" w:eastAsia="zh-CN"/>
        </w:rPr>
        <w:t xml:space="preserve">In RAN4 93 meeting, there were some online and offline discussions on how to address the impact to TS 36.133 [1] and 38.133 [2] due to NR-U. Specifically, companies discussed on the spec structure and how to indicate the applicability of the requirements for NR-U operations. Due to the lack of a clear structure, all NR-U CRs were postponed in RAN4 93 pending decisions on the aforementioned topics. </w:t>
      </w:r>
    </w:p>
    <w:p>
      <w:pPr>
        <w:numPr>
          <w:ilvl w:val="0"/>
          <w:numId w:val="0"/>
        </w:numPr>
        <w:overflowPunct w:val="0"/>
        <w:autoSpaceDE w:val="0"/>
        <w:autoSpaceDN w:val="0"/>
        <w:adjustRightInd w:val="0"/>
        <w:spacing w:after="0" w:line="240" w:lineRule="auto"/>
        <w:jc w:val="both"/>
        <w:rPr>
          <w:rFonts w:hint="default" w:eastAsia="宋体" w:cs="Times New Roman"/>
          <w:sz w:val="22"/>
          <w:szCs w:val="22"/>
          <w:lang w:val="en-US" w:eastAsia="zh-CN"/>
        </w:rPr>
      </w:pPr>
      <w:r>
        <w:rPr>
          <w:rFonts w:hint="eastAsia" w:eastAsia="宋体" w:cs="Times New Roman"/>
          <w:sz w:val="22"/>
          <w:szCs w:val="22"/>
          <w:lang w:val="en-US" w:eastAsia="zh-CN"/>
        </w:rPr>
        <w:t>The discussion continued on during RAN4 94-e and RAN4 94-e-bis meetings, the suggested CR was postponed again.</w:t>
      </w:r>
    </w:p>
    <w:p>
      <w:pPr>
        <w:numPr>
          <w:ilvl w:val="0"/>
          <w:numId w:val="0"/>
        </w:numPr>
        <w:overflowPunct w:val="0"/>
        <w:autoSpaceDE w:val="0"/>
        <w:autoSpaceDN w:val="0"/>
        <w:adjustRightInd w:val="0"/>
        <w:spacing w:after="0" w:line="240" w:lineRule="auto"/>
        <w:jc w:val="both"/>
        <w:rPr>
          <w:rFonts w:hint="eastAsia" w:eastAsia="宋体" w:cs="Times New Roman"/>
          <w:sz w:val="22"/>
          <w:szCs w:val="22"/>
          <w:lang w:val="en-US" w:eastAsia="zh-CN"/>
        </w:rPr>
      </w:pPr>
      <w:r>
        <w:rPr>
          <w:rFonts w:hint="eastAsia" w:eastAsia="宋体" w:cs="Times New Roman"/>
          <w:sz w:val="22"/>
          <w:szCs w:val="22"/>
          <w:lang w:val="en-US" w:eastAsia="zh-CN"/>
        </w:rPr>
        <w:t>In RAN4 94-e-bis meeting it</w:t>
      </w:r>
      <w:r>
        <w:rPr>
          <w:rFonts w:hint="default" w:eastAsia="宋体" w:cs="Times New Roman"/>
          <w:sz w:val="22"/>
          <w:szCs w:val="22"/>
          <w:lang w:val="en-US" w:eastAsia="zh-CN"/>
        </w:rPr>
        <w:t>’</w:t>
      </w:r>
      <w:r>
        <w:rPr>
          <w:rFonts w:hint="eastAsia" w:eastAsia="宋体" w:cs="Times New Roman"/>
          <w:sz w:val="22"/>
          <w:szCs w:val="22"/>
          <w:lang w:val="en-US" w:eastAsia="zh-CN"/>
        </w:rPr>
        <w:t>s agreed to agree on the CR [3] if there were blanks left with the CRs agreed.</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843" w:type="dxa"/>
          </w:tcPr>
          <w:p>
            <w:pPr>
              <w:numPr>
                <w:ilvl w:val="0"/>
                <w:numId w:val="0"/>
              </w:numPr>
              <w:overflowPunct w:val="0"/>
              <w:autoSpaceDE w:val="0"/>
              <w:autoSpaceDN w:val="0"/>
              <w:adjustRightInd w:val="0"/>
              <w:spacing w:after="0" w:line="240" w:lineRule="auto"/>
              <w:jc w:val="both"/>
              <w:rPr>
                <w:rFonts w:hint="default" w:eastAsia="宋体" w:cs="Times New Roman"/>
                <w:sz w:val="22"/>
                <w:szCs w:val="22"/>
                <w:vertAlign w:val="baseline"/>
                <w:lang w:val="en-US" w:eastAsia="zh-CN"/>
              </w:rPr>
            </w:pPr>
            <w:r>
              <w:drawing>
                <wp:inline distT="0" distB="0" distL="114300" distR="114300">
                  <wp:extent cx="5340350" cy="1349375"/>
                  <wp:effectExtent l="0" t="0" r="12700" b="317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4"/>
                          <a:stretch>
                            <a:fillRect/>
                          </a:stretch>
                        </pic:blipFill>
                        <pic:spPr>
                          <a:xfrm>
                            <a:off x="0" y="0"/>
                            <a:ext cx="5340350" cy="1349375"/>
                          </a:xfrm>
                          <a:prstGeom prst="rect">
                            <a:avLst/>
                          </a:prstGeom>
                          <a:noFill/>
                          <a:ln>
                            <a:noFill/>
                          </a:ln>
                        </pic:spPr>
                      </pic:pic>
                    </a:graphicData>
                  </a:graphic>
                </wp:inline>
              </w:drawing>
            </w:r>
          </w:p>
        </w:tc>
      </w:tr>
    </w:tbl>
    <w:p>
      <w:pPr>
        <w:numPr>
          <w:ilvl w:val="0"/>
          <w:numId w:val="0"/>
        </w:numPr>
        <w:overflowPunct w:val="0"/>
        <w:autoSpaceDE w:val="0"/>
        <w:autoSpaceDN w:val="0"/>
        <w:adjustRightInd w:val="0"/>
        <w:spacing w:after="0" w:line="240" w:lineRule="auto"/>
        <w:jc w:val="both"/>
        <w:rPr>
          <w:rFonts w:hint="default" w:eastAsia="宋体" w:cs="Times New Roman"/>
          <w:sz w:val="22"/>
          <w:szCs w:val="22"/>
          <w:lang w:val="en-US" w:eastAsia="zh-CN"/>
        </w:rPr>
      </w:pPr>
    </w:p>
    <w:p>
      <w:pPr>
        <w:pStyle w:val="27"/>
        <w:jc w:val="both"/>
        <w:rPr>
          <w:rFonts w:hint="default" w:eastAsia="宋体"/>
          <w:lang w:val="en-US" w:eastAsia="zh-CN"/>
        </w:rPr>
      </w:pPr>
      <w:r>
        <w:t>2</w:t>
      </w:r>
      <w:r>
        <w:tab/>
      </w:r>
      <w:r>
        <w:rPr>
          <w:rFonts w:hint="eastAsia"/>
          <w:lang w:val="en-US" w:eastAsia="zh-CN"/>
        </w:rPr>
        <w:t>Necessity of CR [3]</w:t>
      </w:r>
    </w:p>
    <w:p>
      <w:pPr>
        <w:rPr>
          <w:rFonts w:hint="eastAsia" w:eastAsia="宋体" w:cs="Times New Roman"/>
          <w:sz w:val="22"/>
          <w:szCs w:val="22"/>
          <w:lang w:val="en-US" w:eastAsia="zh-CN"/>
        </w:rPr>
      </w:pPr>
      <w:r>
        <w:rPr>
          <w:rFonts w:hint="eastAsia" w:eastAsia="宋体" w:cs="Times New Roman"/>
          <w:sz w:val="22"/>
          <w:szCs w:val="22"/>
          <w:lang w:val="en-US" w:eastAsia="zh-CN"/>
        </w:rPr>
        <w:t>In RAN4 94-e, companies gave comments on the necessity of a container CR. In our view, a container CR is the simplest way to solve potential problems and thus we prepare one [3] to be endorsed during this meeting.</w:t>
      </w:r>
    </w:p>
    <w:p>
      <w:pPr>
        <w:rPr>
          <w:rFonts w:hint="eastAsia" w:eastAsia="宋体" w:cs="Times New Roman"/>
          <w:sz w:val="22"/>
          <w:szCs w:val="22"/>
          <w:lang w:val="en-US" w:eastAsia="zh-CN"/>
        </w:rPr>
      </w:pPr>
      <w:r>
        <w:rPr>
          <w:rFonts w:hint="eastAsia" w:eastAsia="宋体" w:cs="Times New Roman"/>
          <w:sz w:val="22"/>
          <w:szCs w:val="22"/>
          <w:lang w:val="en-US" w:eastAsia="zh-CN"/>
        </w:rPr>
        <w:t xml:space="preserve">One problem which might occur is, suppose, under clause </w:t>
      </w:r>
      <w:r>
        <w:rPr>
          <w:rFonts w:hint="default" w:eastAsia="宋体" w:cs="Times New Roman"/>
          <w:sz w:val="22"/>
          <w:szCs w:val="22"/>
          <w:lang w:val="en-US" w:eastAsia="zh-CN"/>
        </w:rPr>
        <w:t>“</w:t>
      </w:r>
      <w:r>
        <w:rPr>
          <w:rFonts w:hint="eastAsia" w:eastAsia="宋体" w:cs="Times New Roman"/>
          <w:sz w:val="22"/>
          <w:szCs w:val="22"/>
          <w:lang w:val="en-US" w:eastAsia="zh-CN"/>
        </w:rPr>
        <w:t>X.1A</w:t>
      </w:r>
      <w:r>
        <w:rPr>
          <w:rFonts w:hint="default" w:eastAsia="宋体" w:cs="Times New Roman"/>
          <w:sz w:val="22"/>
          <w:szCs w:val="22"/>
          <w:lang w:val="en-US" w:eastAsia="zh-CN"/>
        </w:rPr>
        <w:t>”</w:t>
      </w:r>
      <w:r>
        <w:rPr>
          <w:rFonts w:hint="eastAsia" w:eastAsia="宋体" w:cs="Times New Roman"/>
          <w:sz w:val="22"/>
          <w:szCs w:val="22"/>
          <w:lang w:val="en-US" w:eastAsia="zh-CN"/>
        </w:rPr>
        <w:t>, there are two planned clauses for NR-U, X.1A.1 and X.1A.2. What if X.1A.2 is agreed while X.1A.1 is not? This can happen under multiple cases, for example no company brings CR on X.1A.1, or the topic is controversial thus not agreed, etc. Then what would happen if we don</w:t>
      </w:r>
      <w:r>
        <w:rPr>
          <w:rFonts w:hint="default" w:eastAsia="宋体" w:cs="Times New Roman"/>
          <w:sz w:val="22"/>
          <w:szCs w:val="22"/>
          <w:lang w:val="en-US" w:eastAsia="zh-CN"/>
        </w:rPr>
        <w:t>’</w:t>
      </w:r>
      <w:r>
        <w:rPr>
          <w:rFonts w:hint="eastAsia" w:eastAsia="宋体" w:cs="Times New Roman"/>
          <w:sz w:val="22"/>
          <w:szCs w:val="22"/>
          <w:lang w:val="en-US" w:eastAsia="zh-CN"/>
        </w:rPr>
        <w:t>t have this container CR is that under clause X.1A, there</w:t>
      </w:r>
      <w:r>
        <w:rPr>
          <w:rFonts w:hint="default" w:eastAsia="宋体" w:cs="Times New Roman"/>
          <w:sz w:val="22"/>
          <w:szCs w:val="22"/>
          <w:lang w:val="en-US" w:eastAsia="zh-CN"/>
        </w:rPr>
        <w:t>’</w:t>
      </w:r>
      <w:r>
        <w:rPr>
          <w:rFonts w:hint="eastAsia" w:eastAsia="宋体" w:cs="Times New Roman"/>
          <w:sz w:val="22"/>
          <w:szCs w:val="22"/>
          <w:lang w:val="en-US" w:eastAsia="zh-CN"/>
        </w:rPr>
        <w:t>s only a sub-clause X.1A.2. The spec would look like this:</w:t>
      </w:r>
    </w:p>
    <w:p>
      <w:pPr>
        <w:rPr>
          <w:rFonts w:hint="eastAsia" w:eastAsia="宋体" w:cs="Times New Roman"/>
          <w:sz w:val="22"/>
          <w:szCs w:val="22"/>
          <w:highlight w:val="yellow"/>
          <w:lang w:val="en-US" w:eastAsia="zh-CN"/>
        </w:rPr>
      </w:pPr>
      <w:r>
        <w:rPr>
          <w:rFonts w:hint="eastAsia" w:eastAsia="宋体" w:cs="Times New Roman"/>
          <w:sz w:val="22"/>
          <w:szCs w:val="22"/>
          <w:highlight w:val="yellow"/>
          <w:lang w:val="en-US" w:eastAsia="zh-CN"/>
        </w:rPr>
        <w:t>X.1A XXX When CCA is used</w:t>
      </w:r>
    </w:p>
    <w:p>
      <w:pPr>
        <w:rPr>
          <w:rFonts w:hint="default" w:eastAsia="宋体" w:cs="Times New Roman"/>
          <w:sz w:val="22"/>
          <w:szCs w:val="22"/>
          <w:highlight w:val="yellow"/>
          <w:lang w:val="en-US" w:eastAsia="zh-CN"/>
        </w:rPr>
      </w:pPr>
      <w:r>
        <w:rPr>
          <w:rFonts w:hint="eastAsia" w:eastAsia="宋体" w:cs="Times New Roman"/>
          <w:sz w:val="22"/>
          <w:szCs w:val="22"/>
          <w:highlight w:val="yellow"/>
          <w:lang w:val="en-US" w:eastAsia="zh-CN"/>
        </w:rPr>
        <w:t>X.1A.2 General requirements on XXXX</w:t>
      </w:r>
    </w:p>
    <w:p>
      <w:pPr>
        <w:rPr>
          <w:rFonts w:hint="default" w:eastAsia="宋体" w:cs="Times New Roman"/>
          <w:sz w:val="22"/>
          <w:szCs w:val="22"/>
          <w:lang w:val="en-US" w:eastAsia="zh-CN"/>
        </w:rPr>
      </w:pPr>
      <w:r>
        <w:rPr>
          <w:rFonts w:hint="eastAsia" w:eastAsia="宋体" w:cs="Times New Roman"/>
          <w:sz w:val="22"/>
          <w:szCs w:val="22"/>
          <w:lang w:val="en-US" w:eastAsia="zh-CN"/>
        </w:rPr>
        <w:t>X.1A.1 will be missing in this case if the container CR is not agreed. We don</w:t>
      </w:r>
      <w:r>
        <w:rPr>
          <w:rFonts w:hint="default" w:eastAsia="宋体" w:cs="Times New Roman"/>
          <w:sz w:val="22"/>
          <w:szCs w:val="22"/>
          <w:lang w:val="en-US" w:eastAsia="zh-CN"/>
        </w:rPr>
        <w:t>’</w:t>
      </w:r>
      <w:r>
        <w:rPr>
          <w:rFonts w:hint="eastAsia" w:eastAsia="宋体" w:cs="Times New Roman"/>
          <w:sz w:val="22"/>
          <w:szCs w:val="22"/>
          <w:lang w:val="en-US" w:eastAsia="zh-CN"/>
        </w:rPr>
        <w:t>t think this is suitable to appear in specs.</w:t>
      </w:r>
    </w:p>
    <w:p>
      <w:pPr>
        <w:pStyle w:val="39"/>
        <w:rPr>
          <w:rFonts w:hint="default" w:eastAsia="宋体"/>
          <w:sz w:val="22"/>
          <w:szCs w:val="22"/>
          <w:lang w:val="en-US" w:eastAsia="zh-CN"/>
        </w:rPr>
      </w:pPr>
      <w:r>
        <w:rPr>
          <w:rFonts w:hint="eastAsia" w:eastAsia="宋体"/>
          <w:sz w:val="22"/>
          <w:szCs w:val="22"/>
          <w:lang w:val="en-US" w:eastAsia="zh-CN"/>
        </w:rPr>
        <w:t>Without a complete structure for all clauses and sub-clauses, problems might occur to result in an incomplete specification.</w:t>
      </w:r>
    </w:p>
    <w:p>
      <w:pPr>
        <w:rPr>
          <w:rFonts w:hint="default"/>
          <w:sz w:val="22"/>
          <w:szCs w:val="22"/>
          <w:lang w:val="en-US" w:eastAsia="zh-CN"/>
        </w:rPr>
      </w:pPr>
      <w:r>
        <w:rPr>
          <w:rFonts w:hint="eastAsia"/>
          <w:sz w:val="22"/>
          <w:szCs w:val="22"/>
          <w:lang w:val="en-US" w:eastAsia="zh-CN"/>
        </w:rPr>
        <w:t>Observing this potential issue, we propose to first approve a CR for the structure of 38.133 with respect to NR-U changes [3]. With this complete structure, companies can add new sub-sections to 38.133 once they are ready.</w:t>
      </w:r>
    </w:p>
    <w:p>
      <w:pPr>
        <w:pStyle w:val="35"/>
        <w:rPr>
          <w:rFonts w:hint="default"/>
          <w:sz w:val="22"/>
          <w:szCs w:val="22"/>
          <w:lang w:val="en-US" w:eastAsia="zh-CN"/>
        </w:rPr>
      </w:pPr>
      <w:r>
        <w:rPr>
          <w:rFonts w:hint="eastAsia"/>
          <w:sz w:val="22"/>
          <w:szCs w:val="22"/>
          <w:lang w:val="en-US" w:eastAsia="zh-CN"/>
        </w:rPr>
        <w:t xml:space="preserve">Approve the CR [3] to create the whole structure of new clauses in 38.133 due to NR-U if necessary judged by the progress of RAN4 95-e. </w:t>
      </w:r>
    </w:p>
    <w:p>
      <w:pPr>
        <w:pStyle w:val="27"/>
        <w:jc w:val="both"/>
      </w:pPr>
      <w:r>
        <w:rPr>
          <w:rFonts w:hint="eastAsia"/>
          <w:lang w:val="en-US" w:eastAsia="zh-CN"/>
        </w:rPr>
        <w:t>3</w:t>
      </w:r>
      <w:r>
        <w:tab/>
      </w:r>
      <w:r>
        <w:t>Conclusion</w:t>
      </w:r>
    </w:p>
    <w:p>
      <w:pPr>
        <w:pStyle w:val="29"/>
        <w:keepNext w:val="0"/>
        <w:keepLines w:val="0"/>
        <w:pageBreakBefore w:val="0"/>
        <w:widowControl/>
        <w:numPr>
          <w:ilvl w:val="0"/>
          <w:numId w:val="6"/>
        </w:numPr>
        <w:kinsoku/>
        <w:wordWrap/>
        <w:overflowPunct/>
        <w:topLinePunct w:val="0"/>
        <w:autoSpaceDE/>
        <w:autoSpaceDN/>
        <w:bidi w:val="0"/>
        <w:adjustRightInd/>
        <w:snapToGrid/>
        <w:spacing w:line="260" w:lineRule="auto"/>
        <w:ind w:left="0" w:firstLine="0"/>
        <w:textAlignment w:val="auto"/>
        <w:outlineLvl w:val="9"/>
        <w:rPr>
          <w:sz w:val="22"/>
          <w:szCs w:val="22"/>
        </w:rPr>
      </w:pPr>
      <w:r>
        <w:rPr>
          <w:rFonts w:hint="eastAsia" w:eastAsia="宋体"/>
          <w:sz w:val="22"/>
          <w:szCs w:val="22"/>
          <w:lang w:val="en-US" w:eastAsia="zh-CN"/>
        </w:rPr>
        <w:t>Without a complete structure for all clauses and sub-clauses, problems might occur to result in an incomplete specification.</w:t>
      </w:r>
    </w:p>
    <w:p>
      <w:pPr>
        <w:pStyle w:val="35"/>
        <w:numPr>
          <w:ilvl w:val="0"/>
          <w:numId w:val="0"/>
        </w:numPr>
        <w:ind w:leftChars="0"/>
        <w:rPr>
          <w:sz w:val="22"/>
          <w:szCs w:val="22"/>
        </w:rPr>
      </w:pPr>
      <w:r>
        <w:rPr>
          <w:rFonts w:hint="eastAsia"/>
          <w:sz w:val="22"/>
          <w:szCs w:val="22"/>
          <w:lang w:val="en-US" w:eastAsia="zh-CN"/>
        </w:rPr>
        <w:t xml:space="preserve">Proposal 1: Approve the CR [3] to create the whole structure of new clauses in 38.133 due to NR-U if necessary judged by the progress </w:t>
      </w:r>
      <w:bookmarkStart w:id="5" w:name="_GoBack"/>
      <w:bookmarkEnd w:id="5"/>
      <w:r>
        <w:rPr>
          <w:rFonts w:hint="eastAsia"/>
          <w:sz w:val="22"/>
          <w:szCs w:val="22"/>
          <w:lang w:val="en-US" w:eastAsia="zh-CN"/>
        </w:rPr>
        <w:t>of RAN4 95-e.</w:t>
      </w:r>
    </w:p>
    <w:p>
      <w:pPr>
        <w:pStyle w:val="27"/>
        <w:jc w:val="both"/>
      </w:pPr>
      <w:r>
        <w:t>References</w:t>
      </w:r>
    </w:p>
    <w:p>
      <w:pPr>
        <w:numPr>
          <w:ilvl w:val="0"/>
          <w:numId w:val="7"/>
        </w:numPr>
        <w:overflowPunct w:val="0"/>
        <w:autoSpaceDE w:val="0"/>
        <w:autoSpaceDN w:val="0"/>
        <w:adjustRightInd w:val="0"/>
        <w:spacing w:after="120" w:line="240" w:lineRule="auto"/>
        <w:jc w:val="both"/>
        <w:textAlignment w:val="baseline"/>
        <w:rPr>
          <w:sz w:val="22"/>
          <w:szCs w:val="22"/>
          <w:lang w:val="en-GB"/>
        </w:rPr>
      </w:pPr>
      <w:r>
        <w:rPr>
          <w:rFonts w:hint="eastAsia" w:eastAsia="宋体"/>
          <w:sz w:val="22"/>
          <w:szCs w:val="22"/>
          <w:lang w:val="en-US" w:eastAsia="zh-CN"/>
        </w:rPr>
        <w:t xml:space="preserve">3GPP </w:t>
      </w:r>
      <w:r>
        <w:rPr>
          <w:sz w:val="22"/>
          <w:szCs w:val="22"/>
        </w:rPr>
        <w:t>TS 36.</w:t>
      </w:r>
      <w:r>
        <w:rPr>
          <w:rFonts w:hint="eastAsia" w:eastAsia="宋体"/>
          <w:sz w:val="22"/>
          <w:szCs w:val="22"/>
          <w:lang w:val="en-US" w:eastAsia="zh-CN"/>
        </w:rPr>
        <w:t>133</w:t>
      </w:r>
      <w:r>
        <w:rPr>
          <w:sz w:val="22"/>
          <w:szCs w:val="22"/>
        </w:rPr>
        <w:t xml:space="preserve"> E-UTRA; </w:t>
      </w:r>
      <w:r>
        <w:rPr>
          <w:rFonts w:cs="v4.2.0"/>
          <w:sz w:val="22"/>
          <w:szCs w:val="22"/>
        </w:rPr>
        <w:t>Requirements for support of radio resource management</w:t>
      </w:r>
      <w:r>
        <w:rPr>
          <w:sz w:val="22"/>
          <w:szCs w:val="22"/>
          <w:lang w:val="en-GB"/>
        </w:rPr>
        <w:t>.</w:t>
      </w:r>
    </w:p>
    <w:p>
      <w:pPr>
        <w:numPr>
          <w:ilvl w:val="0"/>
          <w:numId w:val="7"/>
        </w:numPr>
        <w:overflowPunct w:val="0"/>
        <w:autoSpaceDE w:val="0"/>
        <w:autoSpaceDN w:val="0"/>
        <w:adjustRightInd w:val="0"/>
        <w:spacing w:after="120" w:line="240" w:lineRule="auto"/>
        <w:jc w:val="both"/>
        <w:textAlignment w:val="baseline"/>
        <w:rPr>
          <w:sz w:val="22"/>
          <w:szCs w:val="22"/>
          <w:lang w:val="en-GB"/>
        </w:rPr>
      </w:pPr>
      <w:r>
        <w:rPr>
          <w:rFonts w:hint="eastAsia" w:eastAsia="宋体"/>
          <w:sz w:val="22"/>
          <w:szCs w:val="22"/>
          <w:lang w:val="en-US" w:eastAsia="zh-CN"/>
        </w:rPr>
        <w:t xml:space="preserve">3GPP </w:t>
      </w:r>
      <w:r>
        <w:rPr>
          <w:sz w:val="22"/>
          <w:szCs w:val="22"/>
        </w:rPr>
        <w:t>TS 3</w:t>
      </w:r>
      <w:r>
        <w:rPr>
          <w:rFonts w:hint="eastAsia" w:eastAsia="宋体"/>
          <w:sz w:val="22"/>
          <w:szCs w:val="22"/>
          <w:lang w:val="en-US" w:eastAsia="zh-CN"/>
        </w:rPr>
        <w:t>8</w:t>
      </w:r>
      <w:r>
        <w:rPr>
          <w:sz w:val="22"/>
          <w:szCs w:val="22"/>
        </w:rPr>
        <w:t>.</w:t>
      </w:r>
      <w:r>
        <w:rPr>
          <w:rFonts w:hint="eastAsia" w:eastAsia="宋体"/>
          <w:sz w:val="22"/>
          <w:szCs w:val="22"/>
          <w:lang w:val="en-US" w:eastAsia="zh-CN"/>
        </w:rPr>
        <w:t>133 NR; Requirements for support of radio resource management.</w:t>
      </w:r>
    </w:p>
    <w:p>
      <w:pPr>
        <w:numPr>
          <w:ilvl w:val="0"/>
          <w:numId w:val="7"/>
        </w:numPr>
        <w:overflowPunct w:val="0"/>
        <w:autoSpaceDE w:val="0"/>
        <w:autoSpaceDN w:val="0"/>
        <w:adjustRightInd w:val="0"/>
        <w:spacing w:after="120" w:line="240" w:lineRule="auto"/>
        <w:jc w:val="both"/>
        <w:textAlignment w:val="baseline"/>
        <w:rPr>
          <w:color w:val="auto"/>
          <w:sz w:val="22"/>
          <w:szCs w:val="22"/>
          <w:lang w:val="en-GB"/>
        </w:rPr>
      </w:pPr>
      <w:r>
        <w:rPr>
          <w:rFonts w:hint="eastAsia"/>
          <w:color w:val="auto"/>
          <w:sz w:val="22"/>
          <w:szCs w:val="22"/>
          <w:lang w:val="en-GB"/>
        </w:rPr>
        <w:t>R4-200</w:t>
      </w:r>
      <w:r>
        <w:rPr>
          <w:rFonts w:hint="eastAsia" w:eastAsia="宋体"/>
          <w:color w:val="auto"/>
          <w:sz w:val="22"/>
          <w:szCs w:val="22"/>
          <w:lang w:val="en-US" w:eastAsia="zh-CN"/>
        </w:rPr>
        <w:t>6010,</w:t>
      </w:r>
      <w:r>
        <w:rPr>
          <w:rFonts w:hint="eastAsia"/>
          <w:color w:val="auto"/>
          <w:sz w:val="22"/>
          <w:szCs w:val="22"/>
          <w:lang w:val="en-GB"/>
        </w:rPr>
        <w:t xml:space="preserve"> CR for spec structure to address NR-U in 38.133</w:t>
      </w:r>
      <w:r>
        <w:rPr>
          <w:rFonts w:hint="eastAsia" w:eastAsia="宋体"/>
          <w:color w:val="auto"/>
          <w:sz w:val="22"/>
          <w:szCs w:val="22"/>
          <w:lang w:val="en-US" w:eastAsia="zh-CN"/>
        </w:rPr>
        <w:t xml:space="preserve"> v3, ZTE Corporation.</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1"/>
    <w:lvlOverride w:ilvl="0">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3D02"/>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9E3FC9"/>
    <w:rsid w:val="01FF08B3"/>
    <w:rsid w:val="02B274E2"/>
    <w:rsid w:val="02C25D33"/>
    <w:rsid w:val="02DE2EAB"/>
    <w:rsid w:val="03C6506D"/>
    <w:rsid w:val="03F37217"/>
    <w:rsid w:val="04AF7AB2"/>
    <w:rsid w:val="04C77D0A"/>
    <w:rsid w:val="04D5204C"/>
    <w:rsid w:val="059B61E4"/>
    <w:rsid w:val="05A86143"/>
    <w:rsid w:val="06105DAC"/>
    <w:rsid w:val="069766CC"/>
    <w:rsid w:val="07502CA2"/>
    <w:rsid w:val="078B76F8"/>
    <w:rsid w:val="079D410C"/>
    <w:rsid w:val="08641205"/>
    <w:rsid w:val="0868025F"/>
    <w:rsid w:val="0873226E"/>
    <w:rsid w:val="08935729"/>
    <w:rsid w:val="08A56AB5"/>
    <w:rsid w:val="08C654D4"/>
    <w:rsid w:val="08CC5D10"/>
    <w:rsid w:val="092C45E6"/>
    <w:rsid w:val="099F556C"/>
    <w:rsid w:val="09C640C3"/>
    <w:rsid w:val="09CB5701"/>
    <w:rsid w:val="0A5763D4"/>
    <w:rsid w:val="0A7BF868"/>
    <w:rsid w:val="0B4F48F0"/>
    <w:rsid w:val="0B7322DC"/>
    <w:rsid w:val="0B9179D4"/>
    <w:rsid w:val="0BB77882"/>
    <w:rsid w:val="0C3C5307"/>
    <w:rsid w:val="0C56263C"/>
    <w:rsid w:val="0C5E2B8A"/>
    <w:rsid w:val="0D102274"/>
    <w:rsid w:val="0DA958CA"/>
    <w:rsid w:val="0DBD45AE"/>
    <w:rsid w:val="0DF104D3"/>
    <w:rsid w:val="0E1C586B"/>
    <w:rsid w:val="0E852C9E"/>
    <w:rsid w:val="0ED138E6"/>
    <w:rsid w:val="0F67780F"/>
    <w:rsid w:val="0F8708A6"/>
    <w:rsid w:val="0F8F3C2A"/>
    <w:rsid w:val="0FB648CB"/>
    <w:rsid w:val="0FD0731A"/>
    <w:rsid w:val="0FF1533A"/>
    <w:rsid w:val="0FFE0AFA"/>
    <w:rsid w:val="1061698F"/>
    <w:rsid w:val="10AA3C13"/>
    <w:rsid w:val="10CD0B75"/>
    <w:rsid w:val="110C4D24"/>
    <w:rsid w:val="122017FC"/>
    <w:rsid w:val="128409CA"/>
    <w:rsid w:val="12BB3A94"/>
    <w:rsid w:val="12D26F74"/>
    <w:rsid w:val="12EF585C"/>
    <w:rsid w:val="13262572"/>
    <w:rsid w:val="136D11EC"/>
    <w:rsid w:val="137D50D6"/>
    <w:rsid w:val="139B3B65"/>
    <w:rsid w:val="13D2331B"/>
    <w:rsid w:val="13D36053"/>
    <w:rsid w:val="13F75352"/>
    <w:rsid w:val="1417498D"/>
    <w:rsid w:val="1427010E"/>
    <w:rsid w:val="1480544B"/>
    <w:rsid w:val="14B36B91"/>
    <w:rsid w:val="14F433DC"/>
    <w:rsid w:val="15A37488"/>
    <w:rsid w:val="162C373B"/>
    <w:rsid w:val="164F667E"/>
    <w:rsid w:val="165D0583"/>
    <w:rsid w:val="16654289"/>
    <w:rsid w:val="16DB79C9"/>
    <w:rsid w:val="17141F2D"/>
    <w:rsid w:val="17A076C4"/>
    <w:rsid w:val="17A62BCE"/>
    <w:rsid w:val="17E826AB"/>
    <w:rsid w:val="18D3414F"/>
    <w:rsid w:val="18D91924"/>
    <w:rsid w:val="19A96435"/>
    <w:rsid w:val="19F536F7"/>
    <w:rsid w:val="1A0B3A21"/>
    <w:rsid w:val="1A5B253D"/>
    <w:rsid w:val="1B3329B5"/>
    <w:rsid w:val="1B7F155B"/>
    <w:rsid w:val="1C36512F"/>
    <w:rsid w:val="1CAF4EBB"/>
    <w:rsid w:val="1D1F1294"/>
    <w:rsid w:val="1D947423"/>
    <w:rsid w:val="1E587858"/>
    <w:rsid w:val="1E7D000A"/>
    <w:rsid w:val="1E8806BC"/>
    <w:rsid w:val="1EA137E3"/>
    <w:rsid w:val="1F0936F5"/>
    <w:rsid w:val="1F17474D"/>
    <w:rsid w:val="1F2B10F9"/>
    <w:rsid w:val="1F711839"/>
    <w:rsid w:val="200D067C"/>
    <w:rsid w:val="20811B82"/>
    <w:rsid w:val="20932716"/>
    <w:rsid w:val="20A662B2"/>
    <w:rsid w:val="21091739"/>
    <w:rsid w:val="211451D0"/>
    <w:rsid w:val="2151075A"/>
    <w:rsid w:val="219E74A3"/>
    <w:rsid w:val="21EA6CD9"/>
    <w:rsid w:val="22571B82"/>
    <w:rsid w:val="22920D1D"/>
    <w:rsid w:val="22C0245E"/>
    <w:rsid w:val="23514077"/>
    <w:rsid w:val="23855295"/>
    <w:rsid w:val="23B20773"/>
    <w:rsid w:val="23CF6D67"/>
    <w:rsid w:val="23DD3286"/>
    <w:rsid w:val="23ED53B9"/>
    <w:rsid w:val="243E2D67"/>
    <w:rsid w:val="248F188B"/>
    <w:rsid w:val="24E91488"/>
    <w:rsid w:val="24FD5F16"/>
    <w:rsid w:val="25077EC5"/>
    <w:rsid w:val="25962669"/>
    <w:rsid w:val="25B77F2C"/>
    <w:rsid w:val="25C20278"/>
    <w:rsid w:val="262D62D9"/>
    <w:rsid w:val="264B689D"/>
    <w:rsid w:val="266135B0"/>
    <w:rsid w:val="26681CAB"/>
    <w:rsid w:val="267E5FCE"/>
    <w:rsid w:val="273A1E63"/>
    <w:rsid w:val="27572E0B"/>
    <w:rsid w:val="280C272A"/>
    <w:rsid w:val="282C7CF8"/>
    <w:rsid w:val="284E33F7"/>
    <w:rsid w:val="287A3770"/>
    <w:rsid w:val="293606FA"/>
    <w:rsid w:val="29517179"/>
    <w:rsid w:val="29E7086A"/>
    <w:rsid w:val="29F3706C"/>
    <w:rsid w:val="2A1219AD"/>
    <w:rsid w:val="2A140904"/>
    <w:rsid w:val="2A394321"/>
    <w:rsid w:val="2AE26D3F"/>
    <w:rsid w:val="2AF8774D"/>
    <w:rsid w:val="2B0F6E62"/>
    <w:rsid w:val="2B1341B4"/>
    <w:rsid w:val="2B7579C5"/>
    <w:rsid w:val="2BB04900"/>
    <w:rsid w:val="2C1A0F59"/>
    <w:rsid w:val="2C3A3275"/>
    <w:rsid w:val="2C495744"/>
    <w:rsid w:val="2CE81558"/>
    <w:rsid w:val="2CEE6B8D"/>
    <w:rsid w:val="2D233DAE"/>
    <w:rsid w:val="2D8E403A"/>
    <w:rsid w:val="2E145F76"/>
    <w:rsid w:val="2E940874"/>
    <w:rsid w:val="2EA86D09"/>
    <w:rsid w:val="2F32226B"/>
    <w:rsid w:val="2F376D10"/>
    <w:rsid w:val="2FA231C5"/>
    <w:rsid w:val="305F2AFB"/>
    <w:rsid w:val="308B65F2"/>
    <w:rsid w:val="3117229F"/>
    <w:rsid w:val="31395268"/>
    <w:rsid w:val="31A50177"/>
    <w:rsid w:val="31B60B32"/>
    <w:rsid w:val="320F0A18"/>
    <w:rsid w:val="32351CB2"/>
    <w:rsid w:val="324554E5"/>
    <w:rsid w:val="325D2B5A"/>
    <w:rsid w:val="327661FC"/>
    <w:rsid w:val="32B33B5A"/>
    <w:rsid w:val="32EE27B2"/>
    <w:rsid w:val="32F876E5"/>
    <w:rsid w:val="3317697A"/>
    <w:rsid w:val="332328F5"/>
    <w:rsid w:val="33372789"/>
    <w:rsid w:val="333876C2"/>
    <w:rsid w:val="33484A1E"/>
    <w:rsid w:val="335055C4"/>
    <w:rsid w:val="335F47E9"/>
    <w:rsid w:val="346E4104"/>
    <w:rsid w:val="3476470C"/>
    <w:rsid w:val="34D83C16"/>
    <w:rsid w:val="3509315E"/>
    <w:rsid w:val="351A4CC6"/>
    <w:rsid w:val="354445A3"/>
    <w:rsid w:val="37705F34"/>
    <w:rsid w:val="377700B0"/>
    <w:rsid w:val="37AF7036"/>
    <w:rsid w:val="380927B5"/>
    <w:rsid w:val="3876150B"/>
    <w:rsid w:val="392739EA"/>
    <w:rsid w:val="392D38AD"/>
    <w:rsid w:val="393F04F3"/>
    <w:rsid w:val="3946679B"/>
    <w:rsid w:val="399A43EA"/>
    <w:rsid w:val="39E24380"/>
    <w:rsid w:val="3A0F1960"/>
    <w:rsid w:val="3A166029"/>
    <w:rsid w:val="3AD21A5D"/>
    <w:rsid w:val="3AF216E5"/>
    <w:rsid w:val="3B30671A"/>
    <w:rsid w:val="3B5662AC"/>
    <w:rsid w:val="3B6A3CFA"/>
    <w:rsid w:val="3CCE203C"/>
    <w:rsid w:val="3D0C1655"/>
    <w:rsid w:val="3D4E48C8"/>
    <w:rsid w:val="3D77737D"/>
    <w:rsid w:val="3DC04E13"/>
    <w:rsid w:val="3DD244E7"/>
    <w:rsid w:val="3E5B41D6"/>
    <w:rsid w:val="3ECE16FA"/>
    <w:rsid w:val="3F7F2D18"/>
    <w:rsid w:val="3FAB36EA"/>
    <w:rsid w:val="3FCF1C3A"/>
    <w:rsid w:val="3FF55768"/>
    <w:rsid w:val="40566CBF"/>
    <w:rsid w:val="407921CE"/>
    <w:rsid w:val="40C04FE0"/>
    <w:rsid w:val="419B0E27"/>
    <w:rsid w:val="41AA7137"/>
    <w:rsid w:val="41AF78DC"/>
    <w:rsid w:val="41EC58FB"/>
    <w:rsid w:val="42381A71"/>
    <w:rsid w:val="426B0C9E"/>
    <w:rsid w:val="4276180D"/>
    <w:rsid w:val="42841694"/>
    <w:rsid w:val="429266C7"/>
    <w:rsid w:val="42AF1322"/>
    <w:rsid w:val="42B30ACF"/>
    <w:rsid w:val="42B82A1A"/>
    <w:rsid w:val="42E73C10"/>
    <w:rsid w:val="438C7EB2"/>
    <w:rsid w:val="43EE582E"/>
    <w:rsid w:val="43FB3DA4"/>
    <w:rsid w:val="440E39D7"/>
    <w:rsid w:val="441C4006"/>
    <w:rsid w:val="442A656D"/>
    <w:rsid w:val="449E489D"/>
    <w:rsid w:val="44B24294"/>
    <w:rsid w:val="451019FB"/>
    <w:rsid w:val="455B13AC"/>
    <w:rsid w:val="457E12AC"/>
    <w:rsid w:val="45CF3CD0"/>
    <w:rsid w:val="46021B24"/>
    <w:rsid w:val="460567D8"/>
    <w:rsid w:val="462F25DF"/>
    <w:rsid w:val="46620161"/>
    <w:rsid w:val="477019EE"/>
    <w:rsid w:val="47C304FD"/>
    <w:rsid w:val="47C357A6"/>
    <w:rsid w:val="47D77F02"/>
    <w:rsid w:val="47DE392B"/>
    <w:rsid w:val="486F7D0D"/>
    <w:rsid w:val="487C3875"/>
    <w:rsid w:val="48977283"/>
    <w:rsid w:val="48FA3778"/>
    <w:rsid w:val="49896512"/>
    <w:rsid w:val="4996414B"/>
    <w:rsid w:val="49BA3D71"/>
    <w:rsid w:val="4A5C70F1"/>
    <w:rsid w:val="4AB61A05"/>
    <w:rsid w:val="4AE455F8"/>
    <w:rsid w:val="4AF26B9D"/>
    <w:rsid w:val="4BB65435"/>
    <w:rsid w:val="4BCE1489"/>
    <w:rsid w:val="4BEA1EE4"/>
    <w:rsid w:val="4BFE0D04"/>
    <w:rsid w:val="4C293566"/>
    <w:rsid w:val="4C36031B"/>
    <w:rsid w:val="4C723787"/>
    <w:rsid w:val="4CE93F00"/>
    <w:rsid w:val="4CF05EAC"/>
    <w:rsid w:val="4D102CB4"/>
    <w:rsid w:val="4D5E023C"/>
    <w:rsid w:val="4D9E609E"/>
    <w:rsid w:val="4E0243C8"/>
    <w:rsid w:val="4EB053BD"/>
    <w:rsid w:val="4EC4499B"/>
    <w:rsid w:val="4F2E6243"/>
    <w:rsid w:val="4F365698"/>
    <w:rsid w:val="4FBC6FAF"/>
    <w:rsid w:val="4FDC68F3"/>
    <w:rsid w:val="50005DA1"/>
    <w:rsid w:val="5041435B"/>
    <w:rsid w:val="50564CCA"/>
    <w:rsid w:val="505A1CB0"/>
    <w:rsid w:val="509778C7"/>
    <w:rsid w:val="51773E2A"/>
    <w:rsid w:val="51B11CE0"/>
    <w:rsid w:val="51C53170"/>
    <w:rsid w:val="51CF1A2E"/>
    <w:rsid w:val="52402E54"/>
    <w:rsid w:val="5280421D"/>
    <w:rsid w:val="52BF27F0"/>
    <w:rsid w:val="535E62F0"/>
    <w:rsid w:val="5361709F"/>
    <w:rsid w:val="53705401"/>
    <w:rsid w:val="53752E8D"/>
    <w:rsid w:val="53832E83"/>
    <w:rsid w:val="539B536F"/>
    <w:rsid w:val="53FC1217"/>
    <w:rsid w:val="540D782C"/>
    <w:rsid w:val="542F1421"/>
    <w:rsid w:val="544505F5"/>
    <w:rsid w:val="544B51D2"/>
    <w:rsid w:val="546C32BA"/>
    <w:rsid w:val="54882E6B"/>
    <w:rsid w:val="54BC505B"/>
    <w:rsid w:val="5553143F"/>
    <w:rsid w:val="55B42DC5"/>
    <w:rsid w:val="561C5CF8"/>
    <w:rsid w:val="586B2608"/>
    <w:rsid w:val="590337CD"/>
    <w:rsid w:val="592D7AE2"/>
    <w:rsid w:val="593554F0"/>
    <w:rsid w:val="59AE394B"/>
    <w:rsid w:val="5A3078C5"/>
    <w:rsid w:val="5AA441CA"/>
    <w:rsid w:val="5AAF2F2D"/>
    <w:rsid w:val="5ADF3A74"/>
    <w:rsid w:val="5AE53367"/>
    <w:rsid w:val="5B0B0083"/>
    <w:rsid w:val="5B954937"/>
    <w:rsid w:val="5BC3228B"/>
    <w:rsid w:val="5C3B1FEA"/>
    <w:rsid w:val="5C6A01BF"/>
    <w:rsid w:val="5C940D36"/>
    <w:rsid w:val="5C992A60"/>
    <w:rsid w:val="5D041ECD"/>
    <w:rsid w:val="5D2C5898"/>
    <w:rsid w:val="5E1D01A1"/>
    <w:rsid w:val="5E2D4C21"/>
    <w:rsid w:val="5EE41E2E"/>
    <w:rsid w:val="5F0F00DA"/>
    <w:rsid w:val="5F3019F3"/>
    <w:rsid w:val="60017F85"/>
    <w:rsid w:val="6045086B"/>
    <w:rsid w:val="60745B63"/>
    <w:rsid w:val="61051332"/>
    <w:rsid w:val="625967FF"/>
    <w:rsid w:val="62B7743E"/>
    <w:rsid w:val="6363179B"/>
    <w:rsid w:val="64116858"/>
    <w:rsid w:val="648D5222"/>
    <w:rsid w:val="64B2258D"/>
    <w:rsid w:val="65997784"/>
    <w:rsid w:val="65A25F32"/>
    <w:rsid w:val="65C64C37"/>
    <w:rsid w:val="66AB371C"/>
    <w:rsid w:val="66AE1192"/>
    <w:rsid w:val="66CA69C3"/>
    <w:rsid w:val="67DA4215"/>
    <w:rsid w:val="67E42DFA"/>
    <w:rsid w:val="68EB3ADC"/>
    <w:rsid w:val="69462386"/>
    <w:rsid w:val="6A7016FE"/>
    <w:rsid w:val="6AFC6812"/>
    <w:rsid w:val="6B5E2EC6"/>
    <w:rsid w:val="6B9700C4"/>
    <w:rsid w:val="6C42065A"/>
    <w:rsid w:val="6C6F44FD"/>
    <w:rsid w:val="6CD4731D"/>
    <w:rsid w:val="6D121910"/>
    <w:rsid w:val="6D295804"/>
    <w:rsid w:val="6D3205F0"/>
    <w:rsid w:val="6DB702B4"/>
    <w:rsid w:val="6E280F64"/>
    <w:rsid w:val="6E504618"/>
    <w:rsid w:val="6EB20078"/>
    <w:rsid w:val="6F277745"/>
    <w:rsid w:val="6F5579D7"/>
    <w:rsid w:val="6F614B9D"/>
    <w:rsid w:val="6F801AF8"/>
    <w:rsid w:val="6F8D5AAE"/>
    <w:rsid w:val="6FFF59CB"/>
    <w:rsid w:val="70160759"/>
    <w:rsid w:val="70200B37"/>
    <w:rsid w:val="702705B9"/>
    <w:rsid w:val="7037013D"/>
    <w:rsid w:val="704E4A67"/>
    <w:rsid w:val="70995673"/>
    <w:rsid w:val="70AA0AC2"/>
    <w:rsid w:val="70EA7511"/>
    <w:rsid w:val="71143E21"/>
    <w:rsid w:val="72867A39"/>
    <w:rsid w:val="72EE3608"/>
    <w:rsid w:val="7327462F"/>
    <w:rsid w:val="732F59FD"/>
    <w:rsid w:val="734B5574"/>
    <w:rsid w:val="7355417D"/>
    <w:rsid w:val="736C3FBB"/>
    <w:rsid w:val="73997EE8"/>
    <w:rsid w:val="73A85DC8"/>
    <w:rsid w:val="740A366B"/>
    <w:rsid w:val="74573DE9"/>
    <w:rsid w:val="74D53B99"/>
    <w:rsid w:val="754C1AAF"/>
    <w:rsid w:val="76991F3B"/>
    <w:rsid w:val="76D8737F"/>
    <w:rsid w:val="76E279D7"/>
    <w:rsid w:val="772E0626"/>
    <w:rsid w:val="7752184A"/>
    <w:rsid w:val="7754709D"/>
    <w:rsid w:val="776E285A"/>
    <w:rsid w:val="77B02D8D"/>
    <w:rsid w:val="77C0093D"/>
    <w:rsid w:val="77C90B9C"/>
    <w:rsid w:val="780E6634"/>
    <w:rsid w:val="78384CBC"/>
    <w:rsid w:val="784258BF"/>
    <w:rsid w:val="790D0287"/>
    <w:rsid w:val="793758F2"/>
    <w:rsid w:val="796257FD"/>
    <w:rsid w:val="7A787ECB"/>
    <w:rsid w:val="7A8B51CB"/>
    <w:rsid w:val="7AB507FA"/>
    <w:rsid w:val="7AC634CB"/>
    <w:rsid w:val="7B014202"/>
    <w:rsid w:val="7C41564D"/>
    <w:rsid w:val="7C8E16C9"/>
    <w:rsid w:val="7CB561C0"/>
    <w:rsid w:val="7CCC277F"/>
    <w:rsid w:val="7CE3033A"/>
    <w:rsid w:val="7D0A2590"/>
    <w:rsid w:val="7D550752"/>
    <w:rsid w:val="7D6A7A29"/>
    <w:rsid w:val="7DCC5A45"/>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7.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5B53C8-48A5-44AD-B897-E90CB0B8E3EC}">
  <ds:schemaRefs/>
</ds:datastoreItem>
</file>

<file path=customXml/itemProps3.xml><?xml version="1.0" encoding="utf-8"?>
<ds:datastoreItem xmlns:ds="http://schemas.openxmlformats.org/officeDocument/2006/customXml" ds:itemID="{08DA32A5-C37F-4DB0-94C0-5301A1F35695}">
  <ds:schemaRefs/>
</ds:datastoreItem>
</file>

<file path=customXml/itemProps4.xml><?xml version="1.0" encoding="utf-8"?>
<ds:datastoreItem xmlns:ds="http://schemas.openxmlformats.org/officeDocument/2006/customXml" ds:itemID="{EAA4E9F1-3478-4E48-ACB7-A0EA7CF8F594}">
  <ds:schemaRefs/>
</ds:datastoreItem>
</file>

<file path=customXml/itemProps5.xml><?xml version="1.0" encoding="utf-8"?>
<ds:datastoreItem xmlns:ds="http://schemas.openxmlformats.org/officeDocument/2006/customXml" ds:itemID="{DDD117E1-8C1C-466A-8D7F-EAF64C1488C0}">
  <ds:schemaRefs/>
</ds:datastoreItem>
</file>

<file path=customXml/itemProps6.xml><?xml version="1.0" encoding="utf-8"?>
<ds:datastoreItem xmlns:ds="http://schemas.openxmlformats.org/officeDocument/2006/customXml" ds:itemID="{E8E32C24-5F96-4713-A70F-A7BA20BB6CD6}">
  <ds:schemaRefs/>
</ds:datastoreItem>
</file>

<file path=customXml/itemProps7.xml><?xml version="1.0" encoding="utf-8"?>
<ds:datastoreItem xmlns:ds="http://schemas.openxmlformats.org/officeDocument/2006/customXml" ds:itemID="{E173285D-2887-45E3-A024-3D1E71CC8E74}">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2</Pages>
  <Words>562</Words>
  <Characters>2948</Characters>
  <Lines>44</Lines>
  <Paragraphs>12</Paragraphs>
  <TotalTime>0</TotalTime>
  <ScaleCrop>false</ScaleCrop>
  <LinksUpToDate>false</LinksUpToDate>
  <CharactersWithSpaces>3498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ZTE</dc:creator>
  <cp:lastModifiedBy>Ricky (ZTE)</cp:lastModifiedBy>
  <cp:lastPrinted>2019-04-29T06:52:00Z</cp:lastPrinted>
  <dcterms:modified xsi:type="dcterms:W3CDTF">2020-05-14T10:59:47Z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2052-11.8.2.8621</vt:lpwstr>
  </property>
</Properties>
</file>